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A7" w:rsidRPr="000F16B5" w:rsidRDefault="005B46A7" w:rsidP="000F16B5">
      <w:pPr>
        <w:jc w:val="center"/>
        <w:rPr>
          <w:rFonts w:ascii="Times New Roman" w:hAnsi="Times New Roman" w:cs="Times New Roman"/>
          <w:b/>
          <w:sz w:val="24"/>
        </w:rPr>
      </w:pPr>
      <w:r w:rsidRPr="000F16B5">
        <w:rPr>
          <w:rFonts w:ascii="Times New Roman" w:hAnsi="Times New Roman" w:cs="Times New Roman"/>
          <w:b/>
          <w:sz w:val="24"/>
        </w:rPr>
        <w:t xml:space="preserve">NỘI DUNG GỢI Ý GÓP Ý DỰ THẢO </w:t>
      </w:r>
      <w:r w:rsidR="00296E88">
        <w:rPr>
          <w:rFonts w:ascii="Times New Roman" w:hAnsi="Times New Roman" w:cs="Times New Roman"/>
          <w:b/>
          <w:sz w:val="24"/>
        </w:rPr>
        <w:t>THÔNG TƯ</w:t>
      </w:r>
    </w:p>
    <w:p w:rsidR="005B46A7" w:rsidRPr="000F16B5" w:rsidRDefault="00296E88" w:rsidP="000F16B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QUY ĐỊNH CHO VAY TIÊU DÙNG CỦA CÔNG TY TÀI CHÍNH</w:t>
      </w:r>
    </w:p>
    <w:p w:rsidR="005B46A7" w:rsidRPr="00490416" w:rsidRDefault="005B46A7" w:rsidP="005B46A7">
      <w:pPr>
        <w:tabs>
          <w:tab w:val="left" w:pos="8415"/>
        </w:tabs>
        <w:spacing w:before="60" w:after="60"/>
        <w:ind w:firstLine="8190"/>
        <w:rPr>
          <w:rFonts w:ascii="Times New Roman" w:hAnsi="Times New Roman"/>
          <w:b/>
          <w:sz w:val="24"/>
          <w:szCs w:val="24"/>
        </w:rPr>
      </w:pPr>
      <w:r w:rsidRPr="00490416">
        <w:rPr>
          <w:rFonts w:ascii="Times New Roman" w:hAnsi="Times New Roman"/>
          <w:b/>
          <w:sz w:val="24"/>
          <w:szCs w:val="24"/>
        </w:rPr>
        <w:t>Đơn vị</w:t>
      </w:r>
      <w:r w:rsidR="000F16B5">
        <w:rPr>
          <w:rFonts w:ascii="Times New Roman" w:hAnsi="Times New Roman"/>
          <w:b/>
          <w:sz w:val="24"/>
          <w:szCs w:val="24"/>
        </w:rPr>
        <w:t xml:space="preserve"> góp ý: ………………………………………………</w:t>
      </w:r>
    </w:p>
    <w:p w:rsidR="005B46A7" w:rsidRPr="00490416" w:rsidRDefault="005B46A7" w:rsidP="005B46A7">
      <w:pPr>
        <w:tabs>
          <w:tab w:val="left" w:pos="9840"/>
        </w:tabs>
        <w:spacing w:before="60" w:after="60"/>
        <w:rPr>
          <w:rFonts w:ascii="Times New Roman" w:hAnsi="Times New Roman"/>
          <w:b/>
          <w:sz w:val="24"/>
          <w:szCs w:val="24"/>
        </w:rPr>
      </w:pPr>
      <w:r w:rsidRPr="00490416">
        <w:rPr>
          <w:rFonts w:ascii="Times New Roman" w:hAnsi="Times New Roman"/>
          <w:b/>
          <w:sz w:val="24"/>
          <w:szCs w:val="24"/>
        </w:rPr>
        <w:t>Góp ý có thể tập trung (nhưng không giới hạn) vào các vấn đề sau:</w:t>
      </w:r>
      <w:r w:rsidRPr="00490416">
        <w:rPr>
          <w:rFonts w:ascii="Times New Roman" w:hAnsi="Times New Roman"/>
          <w:b/>
          <w:sz w:val="24"/>
          <w:szCs w:val="24"/>
        </w:rPr>
        <w:tab/>
      </w:r>
    </w:p>
    <w:p w:rsidR="005B46A7" w:rsidRPr="00490416" w:rsidRDefault="005B46A7" w:rsidP="005B46A7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  <w:tab w:val="left" w:pos="1080"/>
        </w:tabs>
        <w:spacing w:before="60" w:after="6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90416">
        <w:rPr>
          <w:rFonts w:ascii="Times New Roman" w:eastAsia="Times New Roman" w:hAnsi="Times New Roman"/>
          <w:sz w:val="24"/>
          <w:szCs w:val="24"/>
        </w:rPr>
        <w:t xml:space="preserve">Các nội dung quy định có </w:t>
      </w:r>
      <w:r w:rsidRPr="00490416">
        <w:rPr>
          <w:rFonts w:ascii="Times New Roman" w:eastAsia="Times New Roman" w:hAnsi="Times New Roman"/>
          <w:b/>
          <w:sz w:val="24"/>
          <w:szCs w:val="24"/>
          <w:u w:val="single"/>
        </w:rPr>
        <w:t>hợp lý</w:t>
      </w:r>
      <w:r w:rsidRPr="00490416">
        <w:rPr>
          <w:rFonts w:ascii="Times New Roman" w:eastAsia="Times New Roman" w:hAnsi="Times New Roman"/>
          <w:sz w:val="24"/>
          <w:szCs w:val="24"/>
        </w:rPr>
        <w:t xml:space="preserve"> không, nếu không, vui lòng nêu lý do; Các vấn đề khác dự kiến phát sinh </w:t>
      </w:r>
      <w:r w:rsidRPr="00490416">
        <w:rPr>
          <w:rFonts w:ascii="Times New Roman" w:eastAsia="Times New Roman" w:hAnsi="Times New Roman"/>
          <w:b/>
          <w:sz w:val="24"/>
          <w:szCs w:val="24"/>
          <w:u w:val="single"/>
        </w:rPr>
        <w:t>vướng mắc</w:t>
      </w:r>
      <w:r w:rsidRPr="00490416">
        <w:rPr>
          <w:rFonts w:ascii="Times New Roman" w:eastAsia="Times New Roman" w:hAnsi="Times New Roman"/>
          <w:sz w:val="24"/>
          <w:szCs w:val="24"/>
        </w:rPr>
        <w:t xml:space="preserve"> khi văn bản được triển khai thực hiện;</w:t>
      </w:r>
    </w:p>
    <w:p w:rsidR="005B46A7" w:rsidRDefault="005B46A7" w:rsidP="005B46A7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  <w:tab w:val="left" w:pos="1080"/>
        </w:tabs>
        <w:spacing w:before="60" w:after="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490416">
        <w:rPr>
          <w:rFonts w:ascii="Times New Roman" w:eastAsia="Times New Roman" w:hAnsi="Times New Roman"/>
          <w:b/>
          <w:sz w:val="24"/>
          <w:szCs w:val="24"/>
          <w:u w:val="single"/>
        </w:rPr>
        <w:t>Đề xuất, kiến nghị</w:t>
      </w:r>
      <w:r w:rsidRPr="00490416">
        <w:rPr>
          <w:rFonts w:ascii="Times New Roman" w:eastAsia="Times New Roman" w:hAnsi="Times New Roman"/>
          <w:sz w:val="24"/>
          <w:szCs w:val="24"/>
        </w:rPr>
        <w:t xml:space="preserve"> nhằm hoàn thiện các quy định chưa phù hợp.</w:t>
      </w:r>
    </w:p>
    <w:p w:rsidR="005B46A7" w:rsidRPr="00490416" w:rsidRDefault="005B46A7" w:rsidP="005B46A7">
      <w:pPr>
        <w:tabs>
          <w:tab w:val="left" w:pos="1080"/>
        </w:tabs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490416">
        <w:rPr>
          <w:rFonts w:ascii="Times New Roman" w:hAnsi="Times New Roman"/>
          <w:b/>
          <w:sz w:val="24"/>
          <w:szCs w:val="24"/>
        </w:rPr>
        <w:t xml:space="preserve">Phương thức góp ý: </w:t>
      </w:r>
      <w:r w:rsidRPr="00490416">
        <w:rPr>
          <w:rFonts w:ascii="Times New Roman" w:hAnsi="Times New Roman"/>
          <w:b/>
          <w:sz w:val="24"/>
          <w:szCs w:val="24"/>
          <w:u w:val="single"/>
        </w:rPr>
        <w:t>theo đường Công văn</w:t>
      </w:r>
      <w:r w:rsidRPr="00490416">
        <w:rPr>
          <w:rFonts w:ascii="Times New Roman" w:hAnsi="Times New Roman"/>
          <w:b/>
          <w:sz w:val="24"/>
          <w:szCs w:val="24"/>
        </w:rPr>
        <w:t xml:space="preserve"> hoặc điền vào mẫu dưới đây. </w:t>
      </w:r>
    </w:p>
    <w:p w:rsidR="005B46A7" w:rsidRPr="00490416" w:rsidRDefault="005B46A7" w:rsidP="005B46A7">
      <w:pPr>
        <w:tabs>
          <w:tab w:val="left" w:pos="90"/>
          <w:tab w:val="left" w:pos="1080"/>
        </w:tabs>
        <w:spacing w:before="60" w:after="60"/>
        <w:rPr>
          <w:rFonts w:ascii="Times New Roman" w:hAnsi="Times New Roman"/>
          <w:sz w:val="24"/>
          <w:szCs w:val="24"/>
        </w:rPr>
      </w:pPr>
      <w:r w:rsidRPr="00490416">
        <w:rPr>
          <w:rFonts w:ascii="Times New Roman" w:hAnsi="Times New Roman"/>
          <w:sz w:val="24"/>
          <w:szCs w:val="24"/>
        </w:rPr>
        <w:t>Để góp ý được đầy đủ và chính xác, rất mong Quý Doanh nghiệp/Hiệp hội theo dõi toàn văn Dự thảo trên website của VCCI tại địa chỉ: www.vibonline.com.vn - Mục Dự thảo.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985"/>
        <w:gridCol w:w="10915"/>
        <w:gridCol w:w="2693"/>
      </w:tblGrid>
      <w:tr w:rsidR="005B46A7" w:rsidRPr="000F16B5" w:rsidTr="00000E69">
        <w:tc>
          <w:tcPr>
            <w:tcW w:w="1985" w:type="dxa"/>
            <w:vAlign w:val="center"/>
          </w:tcPr>
          <w:p w:rsidR="005B46A7" w:rsidRPr="00A81B10" w:rsidRDefault="005B46A7" w:rsidP="00A81B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1B10">
              <w:rPr>
                <w:rFonts w:ascii="Times New Roman" w:hAnsi="Times New Roman" w:cs="Times New Roman"/>
                <w:b/>
                <w:sz w:val="24"/>
              </w:rPr>
              <w:t>VẤN ĐỀ</w:t>
            </w:r>
          </w:p>
        </w:tc>
        <w:tc>
          <w:tcPr>
            <w:tcW w:w="10915" w:type="dxa"/>
            <w:vAlign w:val="center"/>
          </w:tcPr>
          <w:p w:rsidR="005B46A7" w:rsidRPr="000F16B5" w:rsidRDefault="005B46A7" w:rsidP="000F16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16B5">
              <w:rPr>
                <w:rFonts w:ascii="Times New Roman" w:hAnsi="Times New Roman" w:cs="Times New Roman"/>
                <w:b/>
                <w:sz w:val="24"/>
              </w:rPr>
              <w:t>NỘI DUNG DỰ THẢO</w:t>
            </w:r>
          </w:p>
        </w:tc>
        <w:tc>
          <w:tcPr>
            <w:tcW w:w="2693" w:type="dxa"/>
            <w:vAlign w:val="center"/>
          </w:tcPr>
          <w:p w:rsidR="005B46A7" w:rsidRPr="000F16B5" w:rsidRDefault="005B46A7" w:rsidP="000F16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16B5">
              <w:rPr>
                <w:rFonts w:ascii="Times New Roman" w:hAnsi="Times New Roman" w:cs="Times New Roman"/>
                <w:b/>
                <w:sz w:val="24"/>
              </w:rPr>
              <w:t>Ý KIẾN GÓP Ý</w:t>
            </w:r>
          </w:p>
          <w:p w:rsidR="005B46A7" w:rsidRPr="000F16B5" w:rsidRDefault="005B46A7" w:rsidP="000F16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16B5">
              <w:rPr>
                <w:rFonts w:ascii="Times New Roman" w:hAnsi="Times New Roman" w:cs="Times New Roman"/>
                <w:b/>
                <w:sz w:val="24"/>
              </w:rPr>
              <w:t>(Đồng ý/không đồng ý, Lý do?)</w:t>
            </w:r>
          </w:p>
        </w:tc>
      </w:tr>
      <w:tr w:rsidR="005B46A7" w:rsidTr="00000E69">
        <w:tc>
          <w:tcPr>
            <w:tcW w:w="1985" w:type="dxa"/>
            <w:vAlign w:val="center"/>
          </w:tcPr>
          <w:p w:rsidR="005B46A7" w:rsidRPr="00A81B10" w:rsidRDefault="00A81B10" w:rsidP="00627E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81B10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A81B10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27E67">
              <w:rPr>
                <w:rFonts w:ascii="Times New Roman" w:hAnsi="Times New Roman"/>
                <w:b/>
                <w:sz w:val="24"/>
              </w:rPr>
              <w:t>Đ</w:t>
            </w:r>
            <w:r w:rsidR="00230C97">
              <w:rPr>
                <w:rFonts w:ascii="Times New Roman" w:hAnsi="Times New Roman"/>
                <w:b/>
                <w:sz w:val="24"/>
              </w:rPr>
              <w:t>ối tượng được thực hiện hoạt động cho vay tiêu dùng</w:t>
            </w:r>
          </w:p>
        </w:tc>
        <w:tc>
          <w:tcPr>
            <w:tcW w:w="10915" w:type="dxa"/>
          </w:tcPr>
          <w:p w:rsidR="003A77D0" w:rsidRDefault="00230C97" w:rsidP="00000E69">
            <w:pPr>
              <w:jc w:val="both"/>
              <w:rPr>
                <w:rFonts w:ascii="Times New Roman" w:hAnsi="Times New Roman"/>
                <w:sz w:val="24"/>
              </w:rPr>
            </w:pPr>
            <w:r w:rsidRPr="00230C97">
              <w:rPr>
                <w:rFonts w:ascii="Times New Roman" w:hAnsi="Times New Roman"/>
                <w:sz w:val="24"/>
              </w:rPr>
              <w:t>Công ty tài chính thuộc hai loạ</w:t>
            </w:r>
            <w:r w:rsidR="003A77D0">
              <w:rPr>
                <w:rFonts w:ascii="Times New Roman" w:hAnsi="Times New Roman"/>
                <w:sz w:val="24"/>
              </w:rPr>
              <w:t>i hình:</w:t>
            </w:r>
          </w:p>
          <w:p w:rsidR="003A77D0" w:rsidRDefault="00230C97" w:rsidP="003A77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A77D0">
              <w:rPr>
                <w:rFonts w:ascii="Times New Roman" w:hAnsi="Times New Roman"/>
                <w:sz w:val="24"/>
              </w:rPr>
              <w:t>công ty tài chính tổng hợp</w:t>
            </w:r>
            <w:r w:rsidR="003A77D0">
              <w:rPr>
                <w:rFonts w:ascii="Times New Roman" w:hAnsi="Times New Roman"/>
                <w:sz w:val="24"/>
              </w:rPr>
              <w:t>;</w:t>
            </w:r>
          </w:p>
          <w:p w:rsidR="00230C97" w:rsidRPr="00627E67" w:rsidRDefault="00230C97" w:rsidP="00000E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A77D0">
              <w:rPr>
                <w:rFonts w:ascii="Times New Roman" w:hAnsi="Times New Roman"/>
                <w:sz w:val="24"/>
              </w:rPr>
              <w:t xml:space="preserve"> công ty tài chính tín dụng tiêu dùng.</w:t>
            </w:r>
          </w:p>
        </w:tc>
        <w:tc>
          <w:tcPr>
            <w:tcW w:w="2693" w:type="dxa"/>
          </w:tcPr>
          <w:p w:rsidR="005B46A7" w:rsidRDefault="005B46A7" w:rsidP="000F16B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E69" w:rsidTr="00000E69">
        <w:tc>
          <w:tcPr>
            <w:tcW w:w="1985" w:type="dxa"/>
            <w:vAlign w:val="center"/>
          </w:tcPr>
          <w:p w:rsidR="00000E69" w:rsidRDefault="00000E69" w:rsidP="000010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="00001091">
              <w:rPr>
                <w:rFonts w:ascii="Times New Roman" w:hAnsi="Times New Roman" w:cs="Times New Roman"/>
                <w:b/>
                <w:sz w:val="24"/>
              </w:rPr>
              <w:t xml:space="preserve">Quyền và </w:t>
            </w:r>
            <w:r w:rsidR="00627E67">
              <w:rPr>
                <w:rFonts w:ascii="Times New Roman" w:hAnsi="Times New Roman" w:cs="Times New Roman"/>
                <w:b/>
                <w:sz w:val="24"/>
              </w:rPr>
              <w:t xml:space="preserve">nghĩa vụ </w:t>
            </w:r>
            <w:r w:rsidR="00DC211C">
              <w:rPr>
                <w:rFonts w:ascii="Times New Roman" w:hAnsi="Times New Roman" w:cs="Times New Roman"/>
                <w:b/>
                <w:sz w:val="24"/>
              </w:rPr>
              <w:t>của công ty tài chính</w:t>
            </w:r>
          </w:p>
        </w:tc>
        <w:tc>
          <w:tcPr>
            <w:tcW w:w="10915" w:type="dxa"/>
          </w:tcPr>
          <w:p w:rsidR="00F72E2F" w:rsidRDefault="00DC211C" w:rsidP="00F72E2F">
            <w:pPr>
              <w:jc w:val="both"/>
              <w:rPr>
                <w:rFonts w:ascii="Times New Roman" w:hAnsi="Times New Roman"/>
                <w:sz w:val="24"/>
              </w:rPr>
            </w:pPr>
            <w:r w:rsidRPr="000C0B75">
              <w:rPr>
                <w:rFonts w:ascii="Times New Roman" w:hAnsi="Times New Roman"/>
                <w:b/>
                <w:i/>
                <w:sz w:val="24"/>
              </w:rPr>
              <w:t>Nghĩa vụ cung cấp thông tin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="00627E67">
              <w:rPr>
                <w:rFonts w:ascii="Times New Roman" w:hAnsi="Times New Roman"/>
                <w:sz w:val="24"/>
              </w:rPr>
              <w:t>Trước khi ký hợp đồng cho vay tiêu dùng</w:t>
            </w:r>
            <w:r w:rsidR="00F72E2F">
              <w:rPr>
                <w:rFonts w:ascii="Times New Roman" w:hAnsi="Times New Roman"/>
                <w:sz w:val="24"/>
              </w:rPr>
              <w:t>, công ty tài chính có nghĩa vụ cung cấp và giải thích đầy đủ, chính xác, trung thực cho khách hàng hiểu được c</w:t>
            </w:r>
            <w:r w:rsidR="00296E88">
              <w:rPr>
                <w:rFonts w:ascii="Times New Roman" w:hAnsi="Times New Roman"/>
                <w:sz w:val="24"/>
              </w:rPr>
              <w:t>ác thông tin liên quan</w:t>
            </w:r>
            <w:r w:rsidR="00F72E2F">
              <w:rPr>
                <w:rFonts w:ascii="Times New Roman" w:hAnsi="Times New Roman"/>
                <w:sz w:val="24"/>
              </w:rPr>
              <w:t xml:space="preserve"> </w:t>
            </w:r>
            <w:r w:rsidR="00296E88">
              <w:rPr>
                <w:rFonts w:ascii="Times New Roman" w:hAnsi="Times New Roman"/>
                <w:sz w:val="24"/>
              </w:rPr>
              <w:t>(</w:t>
            </w:r>
            <w:r w:rsidR="00F72E2F">
              <w:rPr>
                <w:rFonts w:ascii="Times New Roman" w:hAnsi="Times New Roman"/>
                <w:sz w:val="24"/>
              </w:rPr>
              <w:t>liệt kê tại điều 5 Dự thả</w:t>
            </w:r>
            <w:r w:rsidR="00296E88">
              <w:rPr>
                <w:rFonts w:ascii="Times New Roman" w:hAnsi="Times New Roman"/>
                <w:sz w:val="24"/>
              </w:rPr>
              <w:t>o).</w:t>
            </w:r>
          </w:p>
          <w:p w:rsidR="00E418D3" w:rsidRDefault="00E418D3" w:rsidP="00F72E2F">
            <w:pPr>
              <w:jc w:val="both"/>
              <w:rPr>
                <w:rFonts w:ascii="Times New Roman" w:hAnsi="Times New Roman"/>
                <w:sz w:val="24"/>
              </w:rPr>
            </w:pPr>
            <w:r w:rsidRPr="000C0B75">
              <w:rPr>
                <w:rFonts w:ascii="Times New Roman" w:hAnsi="Times New Roman"/>
                <w:b/>
                <w:i/>
                <w:sz w:val="24"/>
              </w:rPr>
              <w:t xml:space="preserve">Nghĩa vụ </w:t>
            </w:r>
            <w:r w:rsidR="000C0B75" w:rsidRPr="000C0B75">
              <w:rPr>
                <w:rFonts w:ascii="Times New Roman" w:hAnsi="Times New Roman"/>
                <w:b/>
                <w:i/>
                <w:sz w:val="24"/>
              </w:rPr>
              <w:t>xây dựng các quy định nội bộ trong hoạt động cho vay tiêu dùng</w:t>
            </w:r>
            <w:r w:rsidR="000C0B75">
              <w:rPr>
                <w:rFonts w:ascii="Times New Roman" w:hAnsi="Times New Roman"/>
                <w:sz w:val="24"/>
              </w:rPr>
              <w:t>, được liệt kê tại điều 8 Dự thảo.</w:t>
            </w:r>
          </w:p>
          <w:p w:rsidR="00E52E7F" w:rsidRPr="00EE7DFC" w:rsidRDefault="00DC211C" w:rsidP="00EE7DFC">
            <w:pPr>
              <w:jc w:val="both"/>
              <w:rPr>
                <w:rFonts w:ascii="Times New Roman" w:hAnsi="Times New Roman"/>
                <w:sz w:val="24"/>
              </w:rPr>
            </w:pPr>
            <w:r w:rsidRPr="00296E88">
              <w:rPr>
                <w:rFonts w:ascii="Times New Roman" w:hAnsi="Times New Roman"/>
                <w:b/>
                <w:i/>
                <w:sz w:val="24"/>
              </w:rPr>
              <w:t>Công ty tài chính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C0B75">
              <w:rPr>
                <w:rFonts w:ascii="Times New Roman" w:hAnsi="Times New Roman"/>
                <w:b/>
                <w:i/>
                <w:sz w:val="24"/>
              </w:rPr>
              <w:t>không đượ</w:t>
            </w:r>
            <w:r w:rsidR="00E418D3" w:rsidRPr="000C0B75">
              <w:rPr>
                <w:rFonts w:ascii="Times New Roman" w:hAnsi="Times New Roman"/>
                <w:b/>
                <w:i/>
                <w:sz w:val="24"/>
              </w:rPr>
              <w:t>c</w:t>
            </w:r>
            <w:r w:rsidR="00E418D3">
              <w:rPr>
                <w:rFonts w:ascii="Times New Roman" w:hAnsi="Times New Roman"/>
                <w:sz w:val="24"/>
              </w:rPr>
              <w:t>:</w:t>
            </w:r>
          </w:p>
          <w:p w:rsidR="00E52E7F" w:rsidRDefault="00E418D3" w:rsidP="00E52E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Cho vay để </w:t>
            </w:r>
            <w:r w:rsidR="00E52E7F" w:rsidRPr="00296E88">
              <w:rPr>
                <w:rFonts w:ascii="Times New Roman" w:hAnsi="Times New Roman"/>
                <w:b/>
                <w:sz w:val="24"/>
                <w:u w:val="single"/>
              </w:rPr>
              <w:t>đáp ứ</w:t>
            </w:r>
            <w:r w:rsidR="00EE7DFC" w:rsidRPr="00296E88">
              <w:rPr>
                <w:rFonts w:ascii="Times New Roman" w:hAnsi="Times New Roman"/>
                <w:b/>
                <w:sz w:val="24"/>
                <w:u w:val="single"/>
              </w:rPr>
              <w:t>ng các hoạt động mua, sử dụng; hoặc nhu cầu tài chính của các giao dịch, h</w:t>
            </w:r>
            <w:bookmarkStart w:id="0" w:name="_GoBack"/>
            <w:bookmarkEnd w:id="0"/>
            <w:r w:rsidR="00EE7DFC" w:rsidRPr="00296E88">
              <w:rPr>
                <w:rFonts w:ascii="Times New Roman" w:hAnsi="Times New Roman"/>
                <w:b/>
                <w:sz w:val="24"/>
                <w:u w:val="single"/>
              </w:rPr>
              <w:t>ành vi mà pháp luật cấm</w:t>
            </w:r>
            <w:r w:rsidR="00EE7DFC">
              <w:rPr>
                <w:rFonts w:ascii="Times New Roman" w:hAnsi="Times New Roman"/>
                <w:sz w:val="24"/>
              </w:rPr>
              <w:t>;</w:t>
            </w:r>
          </w:p>
          <w:p w:rsidR="00EE7DFC" w:rsidRDefault="00E418D3" w:rsidP="00E52E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Cho vay để </w:t>
            </w:r>
            <w:r w:rsidR="00EE7DFC" w:rsidRPr="00296E88">
              <w:rPr>
                <w:rFonts w:ascii="Times New Roman" w:hAnsi="Times New Roman"/>
                <w:b/>
                <w:sz w:val="24"/>
                <w:u w:val="single"/>
              </w:rPr>
              <w:t>trả nợ các khoản nơ vay tại chính công ty tài chính cho vay và/hoặc tại tổ chức tín dụng, chi nhánh ngân hàng nước ngoài khác</w:t>
            </w:r>
            <w:r w:rsidR="00EE7DFC">
              <w:rPr>
                <w:rFonts w:ascii="Times New Roman" w:hAnsi="Times New Roman"/>
                <w:sz w:val="24"/>
              </w:rPr>
              <w:t>;</w:t>
            </w:r>
          </w:p>
          <w:p w:rsidR="00EE7DFC" w:rsidRDefault="00E418D3" w:rsidP="00E52E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Cho vay để </w:t>
            </w:r>
            <w:r w:rsidR="00EE7DFC" w:rsidRPr="00296E88">
              <w:rPr>
                <w:rFonts w:ascii="Times New Roman" w:hAnsi="Times New Roman"/>
                <w:b/>
                <w:sz w:val="24"/>
                <w:u w:val="single"/>
              </w:rPr>
              <w:t>mua vàng</w:t>
            </w:r>
            <w:r w:rsidR="00EE7DFC">
              <w:rPr>
                <w:rFonts w:ascii="Times New Roman" w:hAnsi="Times New Roman"/>
                <w:sz w:val="24"/>
              </w:rPr>
              <w:t xml:space="preserve"> (trừ vàng trang sức, mỹ nghệ).</w:t>
            </w:r>
          </w:p>
          <w:p w:rsidR="00E418D3" w:rsidRPr="00FF2960" w:rsidRDefault="00E418D3" w:rsidP="00E52E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Cho vay tiêu dùng </w:t>
            </w:r>
            <w:r w:rsidRPr="00296E88">
              <w:rPr>
                <w:rFonts w:ascii="Times New Roman" w:hAnsi="Times New Roman"/>
                <w:b/>
                <w:sz w:val="24"/>
                <w:u w:val="single"/>
              </w:rPr>
              <w:t>bất động sản</w:t>
            </w:r>
            <w:r w:rsidR="004B279A">
              <w:rPr>
                <w:rFonts w:ascii="Times New Roman" w:hAnsi="Times New Roman"/>
                <w:b/>
                <w:sz w:val="24"/>
                <w:u w:val="single"/>
              </w:rPr>
              <w:t>.</w:t>
            </w:r>
          </w:p>
          <w:p w:rsidR="00296E88" w:rsidRDefault="00FF2960" w:rsidP="00FF2960">
            <w:pPr>
              <w:jc w:val="both"/>
              <w:rPr>
                <w:rFonts w:ascii="Times New Roman" w:hAnsi="Times New Roman"/>
                <w:sz w:val="24"/>
              </w:rPr>
            </w:pPr>
            <w:r w:rsidRPr="00296E88">
              <w:rPr>
                <w:rFonts w:ascii="Times New Roman" w:hAnsi="Times New Roman"/>
                <w:b/>
                <w:i/>
                <w:sz w:val="24"/>
              </w:rPr>
              <w:t>Nghĩa vụ yêu cầu khách hàng cung cấp tài liệu chứng minh phương án sử dụng vốn vay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001091" w:rsidRPr="00FF2960" w:rsidRDefault="00296E88" w:rsidP="00FF2960">
            <w:pPr>
              <w:jc w:val="both"/>
              <w:rPr>
                <w:rFonts w:ascii="Times New Roman" w:hAnsi="Times New Roman"/>
                <w:sz w:val="24"/>
              </w:rPr>
            </w:pPr>
            <w:r w:rsidRPr="00296E88">
              <w:rPr>
                <w:rFonts w:ascii="Times New Roman" w:hAnsi="Times New Roman"/>
                <w:b/>
                <w:i/>
                <w:sz w:val="24"/>
              </w:rPr>
              <w:t xml:space="preserve">Nghĩa vụ </w:t>
            </w:r>
            <w:r w:rsidR="00FF2960" w:rsidRPr="00296E88">
              <w:rPr>
                <w:rFonts w:ascii="Times New Roman" w:hAnsi="Times New Roman"/>
                <w:b/>
                <w:i/>
                <w:sz w:val="24"/>
              </w:rPr>
              <w:t>kiểm tra, giám sát việc sử dụng vốn vay và trả nợ</w:t>
            </w:r>
            <w:r w:rsidR="00FF2960">
              <w:rPr>
                <w:rFonts w:ascii="Times New Roman" w:hAnsi="Times New Roman"/>
                <w:sz w:val="24"/>
              </w:rPr>
              <w:t xml:space="preserve"> của khách hàng.</w:t>
            </w:r>
          </w:p>
        </w:tc>
        <w:tc>
          <w:tcPr>
            <w:tcW w:w="2693" w:type="dxa"/>
          </w:tcPr>
          <w:p w:rsidR="00000E69" w:rsidRDefault="00000E69" w:rsidP="000F16B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E69" w:rsidTr="00000E69">
        <w:tc>
          <w:tcPr>
            <w:tcW w:w="1985" w:type="dxa"/>
            <w:vAlign w:val="center"/>
          </w:tcPr>
          <w:p w:rsidR="00000E69" w:rsidRDefault="00000E69" w:rsidP="004E43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Quy định về </w:t>
            </w:r>
            <w:r w:rsidR="004E43E0">
              <w:rPr>
                <w:rFonts w:ascii="Times New Roman" w:hAnsi="Times New Roman" w:cs="Times New Roman"/>
                <w:b/>
                <w:sz w:val="24"/>
              </w:rPr>
              <w:t>hồ sơ đề nghị vay tiêu dùng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915" w:type="dxa"/>
            <w:vAlign w:val="center"/>
          </w:tcPr>
          <w:p w:rsidR="00000E69" w:rsidRPr="00000E69" w:rsidRDefault="004E43E0" w:rsidP="00000E69">
            <w:pPr>
              <w:rPr>
                <w:rFonts w:ascii="Times New Roman" w:hAnsi="Times New Roman"/>
                <w:sz w:val="24"/>
              </w:rPr>
            </w:pPr>
            <w:r w:rsidRPr="00296E88">
              <w:rPr>
                <w:rFonts w:ascii="Times New Roman" w:hAnsi="Times New Roman"/>
                <w:sz w:val="24"/>
              </w:rPr>
              <w:t>Hồ sơ đề nghị vay tiêu dùng được đơn giản hóa,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296E88">
              <w:rPr>
                <w:rFonts w:ascii="Times New Roman" w:hAnsi="Times New Roman"/>
                <w:sz w:val="24"/>
              </w:rPr>
              <w:t xml:space="preserve">theo đó công ty tài chính </w:t>
            </w:r>
            <w:r w:rsidRPr="00296E88">
              <w:rPr>
                <w:rFonts w:ascii="Times New Roman" w:hAnsi="Times New Roman"/>
                <w:b/>
                <w:sz w:val="24"/>
                <w:u w:val="single"/>
              </w:rPr>
              <w:t>được sử dụng giấy đề nghị vay vốn</w:t>
            </w:r>
            <w:r w:rsidRPr="00296E88">
              <w:rPr>
                <w:rFonts w:ascii="Times New Roman" w:hAnsi="Times New Roman"/>
                <w:sz w:val="24"/>
              </w:rPr>
              <w:t xml:space="preserve"> bao gồm cả nội dung phương án sử dụng vốn của khách hàng vay.</w:t>
            </w:r>
          </w:p>
        </w:tc>
        <w:tc>
          <w:tcPr>
            <w:tcW w:w="2693" w:type="dxa"/>
          </w:tcPr>
          <w:p w:rsidR="00000E69" w:rsidRDefault="00000E69" w:rsidP="000F16B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96E88" w:rsidTr="00000E69">
        <w:tc>
          <w:tcPr>
            <w:tcW w:w="1985" w:type="dxa"/>
            <w:vAlign w:val="center"/>
          </w:tcPr>
          <w:p w:rsidR="00296E88" w:rsidRDefault="00296E88" w:rsidP="004E43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 Quy định về lãi suất cho vay tiêu dùng</w:t>
            </w:r>
          </w:p>
        </w:tc>
        <w:tc>
          <w:tcPr>
            <w:tcW w:w="10915" w:type="dxa"/>
            <w:vAlign w:val="center"/>
          </w:tcPr>
          <w:p w:rsidR="00296E88" w:rsidRPr="00296E88" w:rsidRDefault="00296E88" w:rsidP="00296E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296E88">
              <w:rPr>
                <w:rFonts w:ascii="Times New Roman" w:hAnsi="Times New Roman"/>
                <w:sz w:val="24"/>
              </w:rPr>
              <w:t xml:space="preserve">Tính theo tỷ lệ </w:t>
            </w:r>
            <w:r w:rsidRPr="00296E88">
              <w:rPr>
                <w:rFonts w:ascii="Times New Roman" w:hAnsi="Times New Roman"/>
                <w:b/>
                <w:sz w:val="24"/>
                <w:u w:val="single"/>
              </w:rPr>
              <w:t>%/năm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;</w:t>
            </w:r>
          </w:p>
          <w:p w:rsidR="00296E88" w:rsidRPr="00296E88" w:rsidRDefault="00296E88" w:rsidP="00296E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96E88">
              <w:rPr>
                <w:rFonts w:ascii="Times New Roman" w:hAnsi="Times New Roman"/>
                <w:sz w:val="24"/>
              </w:rPr>
              <w:t xml:space="preserve">Lãi tiền vay phải trả chỉ được tính trên cơ sở </w:t>
            </w:r>
            <w:r w:rsidRPr="00296E88">
              <w:rPr>
                <w:rFonts w:ascii="Times New Roman" w:hAnsi="Times New Roman"/>
                <w:b/>
                <w:sz w:val="24"/>
                <w:u w:val="single"/>
              </w:rPr>
              <w:t>dư nợ cho vay thực tế tại thời điểm tính lãi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;</w:t>
            </w:r>
          </w:p>
          <w:p w:rsidR="00296E88" w:rsidRPr="00296E88" w:rsidRDefault="00296E88" w:rsidP="00296E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296E88">
              <w:rPr>
                <w:rFonts w:ascii="Times New Roman" w:hAnsi="Times New Roman"/>
                <w:sz w:val="24"/>
              </w:rPr>
              <w:t xml:space="preserve">Công ty tài chính </w:t>
            </w:r>
            <w:r w:rsidRPr="00296E88">
              <w:rPr>
                <w:rFonts w:ascii="Times New Roman" w:hAnsi="Times New Roman"/>
                <w:b/>
                <w:sz w:val="24"/>
                <w:u w:val="single"/>
              </w:rPr>
              <w:t>phải ban hành quy định nội bộ về lãi suấ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t</w:t>
            </w:r>
            <w:r>
              <w:rPr>
                <w:rFonts w:ascii="Times New Roman" w:hAnsi="Times New Roman"/>
                <w:sz w:val="24"/>
              </w:rPr>
              <w:t xml:space="preserve"> c</w:t>
            </w:r>
            <w:r w:rsidRPr="00296E88">
              <w:rPr>
                <w:rFonts w:ascii="Times New Roman" w:hAnsi="Times New Roman"/>
                <w:sz w:val="24"/>
              </w:rPr>
              <w:t>ho vay tiêu dùng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93" w:type="dxa"/>
          </w:tcPr>
          <w:p w:rsidR="00296E88" w:rsidRDefault="00296E88" w:rsidP="000F16B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46A7" w:rsidRPr="005B46A7" w:rsidRDefault="005B46A7" w:rsidP="000F16B5">
      <w:pPr>
        <w:jc w:val="both"/>
        <w:rPr>
          <w:rFonts w:ascii="Times New Roman" w:hAnsi="Times New Roman" w:cs="Times New Roman"/>
          <w:sz w:val="24"/>
        </w:rPr>
      </w:pPr>
    </w:p>
    <w:sectPr w:rsidR="005B46A7" w:rsidRPr="005B46A7" w:rsidSect="00296E88">
      <w:pgSz w:w="16840" w:h="11907" w:orient="landscape" w:code="9"/>
      <w:pgMar w:top="289" w:right="1418" w:bottom="142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4AD" w:rsidRDefault="009654AD" w:rsidP="001B0EBA">
      <w:pPr>
        <w:spacing w:after="0" w:line="240" w:lineRule="auto"/>
      </w:pPr>
      <w:r>
        <w:separator/>
      </w:r>
    </w:p>
  </w:endnote>
  <w:endnote w:type="continuationSeparator" w:id="0">
    <w:p w:rsidR="009654AD" w:rsidRDefault="009654AD" w:rsidP="001B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4AD" w:rsidRDefault="009654AD" w:rsidP="001B0EBA">
      <w:pPr>
        <w:spacing w:after="0" w:line="240" w:lineRule="auto"/>
      </w:pPr>
      <w:r>
        <w:separator/>
      </w:r>
    </w:p>
  </w:footnote>
  <w:footnote w:type="continuationSeparator" w:id="0">
    <w:p w:rsidR="009654AD" w:rsidRDefault="009654AD" w:rsidP="001B0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6E7B"/>
    <w:multiLevelType w:val="hybridMultilevel"/>
    <w:tmpl w:val="92AA264A"/>
    <w:lvl w:ilvl="0" w:tplc="D4D0B1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5DD4"/>
    <w:multiLevelType w:val="hybridMultilevel"/>
    <w:tmpl w:val="57EE99A6"/>
    <w:lvl w:ilvl="0" w:tplc="E8F0D0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12446"/>
    <w:multiLevelType w:val="hybridMultilevel"/>
    <w:tmpl w:val="34A6168C"/>
    <w:lvl w:ilvl="0" w:tplc="AA1471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121BB"/>
    <w:multiLevelType w:val="hybridMultilevel"/>
    <w:tmpl w:val="30162D20"/>
    <w:lvl w:ilvl="0" w:tplc="C7324F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2144C"/>
    <w:multiLevelType w:val="hybridMultilevel"/>
    <w:tmpl w:val="D1D8CF0A"/>
    <w:lvl w:ilvl="0" w:tplc="F44ED7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A4A72"/>
    <w:multiLevelType w:val="hybridMultilevel"/>
    <w:tmpl w:val="A628C9CA"/>
    <w:lvl w:ilvl="0" w:tplc="865014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F190E"/>
    <w:multiLevelType w:val="hybridMultilevel"/>
    <w:tmpl w:val="3C1EC038"/>
    <w:lvl w:ilvl="0" w:tplc="E39670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B32E1"/>
    <w:multiLevelType w:val="hybridMultilevel"/>
    <w:tmpl w:val="9750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15AAF"/>
    <w:multiLevelType w:val="hybridMultilevel"/>
    <w:tmpl w:val="89782312"/>
    <w:lvl w:ilvl="0" w:tplc="65A25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E497C"/>
    <w:multiLevelType w:val="hybridMultilevel"/>
    <w:tmpl w:val="2098AA38"/>
    <w:lvl w:ilvl="0" w:tplc="9E7686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E7A33"/>
    <w:multiLevelType w:val="hybridMultilevel"/>
    <w:tmpl w:val="097E8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B7"/>
    <w:rsid w:val="00000E69"/>
    <w:rsid w:val="00001091"/>
    <w:rsid w:val="00060850"/>
    <w:rsid w:val="000B31DF"/>
    <w:rsid w:val="000C0B75"/>
    <w:rsid w:val="000F16B5"/>
    <w:rsid w:val="001307A7"/>
    <w:rsid w:val="00133B10"/>
    <w:rsid w:val="001901C9"/>
    <w:rsid w:val="001B0EBA"/>
    <w:rsid w:val="001B1F58"/>
    <w:rsid w:val="00230C97"/>
    <w:rsid w:val="00296E88"/>
    <w:rsid w:val="002F630E"/>
    <w:rsid w:val="00362BEA"/>
    <w:rsid w:val="003A77D0"/>
    <w:rsid w:val="0046512A"/>
    <w:rsid w:val="004B279A"/>
    <w:rsid w:val="004E43E0"/>
    <w:rsid w:val="005B46A7"/>
    <w:rsid w:val="00621A2C"/>
    <w:rsid w:val="00627E67"/>
    <w:rsid w:val="0067744D"/>
    <w:rsid w:val="006C2161"/>
    <w:rsid w:val="006E2737"/>
    <w:rsid w:val="007C4B33"/>
    <w:rsid w:val="007E5E2C"/>
    <w:rsid w:val="008519E7"/>
    <w:rsid w:val="00885D57"/>
    <w:rsid w:val="008C60A2"/>
    <w:rsid w:val="0094474F"/>
    <w:rsid w:val="009654AD"/>
    <w:rsid w:val="00A10308"/>
    <w:rsid w:val="00A1374F"/>
    <w:rsid w:val="00A255AD"/>
    <w:rsid w:val="00A81B10"/>
    <w:rsid w:val="00A90EA8"/>
    <w:rsid w:val="00BA7F61"/>
    <w:rsid w:val="00C04581"/>
    <w:rsid w:val="00C57C0C"/>
    <w:rsid w:val="00D224B7"/>
    <w:rsid w:val="00D832CF"/>
    <w:rsid w:val="00DC211C"/>
    <w:rsid w:val="00E2096B"/>
    <w:rsid w:val="00E418D3"/>
    <w:rsid w:val="00E42EA4"/>
    <w:rsid w:val="00E52E7F"/>
    <w:rsid w:val="00E60B62"/>
    <w:rsid w:val="00E642D2"/>
    <w:rsid w:val="00ED2F5D"/>
    <w:rsid w:val="00ED5E36"/>
    <w:rsid w:val="00EE088C"/>
    <w:rsid w:val="00EE7DFC"/>
    <w:rsid w:val="00F26953"/>
    <w:rsid w:val="00F72E2F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6DD4A-6977-4E80-87CB-B0713261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6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B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A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E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E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0E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E94FD-1B87-4CA4-AA0A-6CFC62B1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Linh</dc:creator>
  <cp:keywords/>
  <dc:description/>
  <cp:lastModifiedBy>Linh Linh</cp:lastModifiedBy>
  <cp:revision>2</cp:revision>
  <cp:lastPrinted>2016-10-25T09:11:00Z</cp:lastPrinted>
  <dcterms:created xsi:type="dcterms:W3CDTF">2016-10-25T10:43:00Z</dcterms:created>
  <dcterms:modified xsi:type="dcterms:W3CDTF">2016-10-25T10:43:00Z</dcterms:modified>
</cp:coreProperties>
</file>